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346"/>
        <w:gridCol w:w="4536"/>
        <w:gridCol w:w="1583"/>
      </w:tblGrid>
      <w:tr w:rsidR="007F4E4C" w:rsidRPr="007F4E4C" w:rsidTr="007F4E4C">
        <w:tc>
          <w:tcPr>
            <w:tcW w:w="3348" w:type="dxa"/>
            <w:hideMark/>
          </w:tcPr>
          <w:p w:rsidR="007F4E4C" w:rsidRPr="007F4E4C" w:rsidRDefault="007F4E4C" w:rsidP="007F4E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 w:type="page"/>
            </w: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7F4E4C" w:rsidRPr="007F4E4C" w:rsidRDefault="007F4E4C" w:rsidP="007F4E4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TỈNH QUẢNG </w:t>
            </w:r>
            <w:bookmarkStart w:id="0" w:name="_GoBack"/>
            <w:bookmarkEnd w:id="0"/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>NGÃI</w:t>
            </w:r>
          </w:p>
        </w:tc>
        <w:tc>
          <w:tcPr>
            <w:tcW w:w="6120" w:type="dxa"/>
            <w:gridSpan w:val="2"/>
            <w:hideMark/>
          </w:tcPr>
          <w:p w:rsidR="007F4E4C" w:rsidRPr="007F4E4C" w:rsidRDefault="007F4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7F4E4C" w:rsidRPr="007F4E4C" w:rsidRDefault="007F4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7F4E4C" w:rsidRPr="007F4E4C" w:rsidTr="007F4E4C">
        <w:tc>
          <w:tcPr>
            <w:tcW w:w="3348" w:type="dxa"/>
            <w:hideMark/>
          </w:tcPr>
          <w:p w:rsidR="007F4E4C" w:rsidRPr="007F4E4C" w:rsidRDefault="007F4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62EA9" wp14:editId="2FC8E5C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39370</wp:posOffset>
                      </wp:positionV>
                      <wp:extent cx="6858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1pt" to="10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8u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/PFbJF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4537" w:type="dxa"/>
            <w:hideMark/>
          </w:tcPr>
          <w:p w:rsidR="007F4E4C" w:rsidRPr="007F4E4C" w:rsidRDefault="007F4E4C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E4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240212" wp14:editId="0570534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10795</wp:posOffset>
                      </wp:positionV>
                      <wp:extent cx="21278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.85pt" to="229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eX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583" w:type="dxa"/>
          </w:tcPr>
          <w:p w:rsidR="007F4E4C" w:rsidRPr="007F4E4C" w:rsidRDefault="007F4E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E4C" w:rsidRPr="007F4E4C" w:rsidTr="007F4E4C">
        <w:tc>
          <w:tcPr>
            <w:tcW w:w="3348" w:type="dxa"/>
            <w:hideMark/>
          </w:tcPr>
          <w:p w:rsidR="007F4E4C" w:rsidRPr="007F4E4C" w:rsidRDefault="007F4E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 xml:space="preserve">       Số:           /BC-UBND</w:t>
            </w:r>
          </w:p>
        </w:tc>
        <w:tc>
          <w:tcPr>
            <w:tcW w:w="6120" w:type="dxa"/>
            <w:gridSpan w:val="2"/>
            <w:hideMark/>
          </w:tcPr>
          <w:p w:rsidR="007F4E4C" w:rsidRPr="007F4E4C" w:rsidRDefault="007F4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7F4E4C">
              <w:rPr>
                <w:rFonts w:ascii="Times New Roman" w:hAnsi="Times New Roman" w:cs="Times New Roman"/>
                <w:i/>
                <w:sz w:val="28"/>
                <w:szCs w:val="28"/>
              </w:rPr>
              <w:t>Quảng Ngãi, ngày        tháng 3 năm 2025</w:t>
            </w:r>
          </w:p>
        </w:tc>
      </w:tr>
    </w:tbl>
    <w:p w:rsidR="007F4E4C" w:rsidRPr="007F4E4C" w:rsidRDefault="007F4E4C" w:rsidP="007F4E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E4C" w:rsidRPr="007F4E4C" w:rsidRDefault="007F4E4C" w:rsidP="007F4E4C">
      <w:pPr>
        <w:tabs>
          <w:tab w:val="left" w:pos="1064"/>
          <w:tab w:val="center" w:pos="4537"/>
        </w:tabs>
        <w:rPr>
          <w:rFonts w:ascii="Times New Roman" w:hAnsi="Times New Roman" w:cs="Times New Roman"/>
          <w:b/>
          <w:sz w:val="28"/>
          <w:szCs w:val="28"/>
        </w:rPr>
      </w:pPr>
      <w:r w:rsidRPr="007F4E4C">
        <w:rPr>
          <w:rFonts w:ascii="Times New Roman" w:hAnsi="Times New Roman" w:cs="Times New Roman"/>
          <w:b/>
          <w:sz w:val="28"/>
          <w:szCs w:val="28"/>
        </w:rPr>
        <w:tab/>
      </w:r>
      <w:r w:rsidRPr="007F4E4C">
        <w:rPr>
          <w:rFonts w:ascii="Times New Roman" w:hAnsi="Times New Roman" w:cs="Times New Roman"/>
          <w:b/>
          <w:sz w:val="28"/>
          <w:szCs w:val="28"/>
        </w:rPr>
        <w:tab/>
        <w:t>BÁO CÁO</w:t>
      </w:r>
    </w:p>
    <w:p w:rsidR="007F4E4C" w:rsidRPr="007F4E4C" w:rsidRDefault="007F4E4C" w:rsidP="007F4E4C">
      <w:pPr>
        <w:ind w:right="56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4C">
        <w:rPr>
          <w:rFonts w:ascii="Times New Roman" w:hAnsi="Times New Roman" w:cs="Times New Roman"/>
          <w:b/>
          <w:sz w:val="28"/>
          <w:szCs w:val="28"/>
        </w:rPr>
        <w:t>Về tình hình thực hiện công khai quyết toán ngân sách nhà nước năm 2023 của tỉnh Quảng Ngãi</w:t>
      </w:r>
    </w:p>
    <w:p w:rsidR="007F4E4C" w:rsidRPr="007F4E4C" w:rsidRDefault="007F4E4C" w:rsidP="007F4E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4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732AB" wp14:editId="7D9F913A">
                <wp:simplePos x="0" y="0"/>
                <wp:positionH relativeFrom="column">
                  <wp:posOffset>2450465</wp:posOffset>
                </wp:positionH>
                <wp:positionV relativeFrom="paragraph">
                  <wp:posOffset>41910</wp:posOffset>
                </wp:positionV>
                <wp:extent cx="7639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5pt,3.3pt" to="253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"/>
            </w:pict>
          </mc:Fallback>
        </mc:AlternateContent>
      </w:r>
    </w:p>
    <w:p w:rsidR="007F4E4C" w:rsidRPr="007F4E4C" w:rsidRDefault="007F4E4C" w:rsidP="007F4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</w:rPr>
        <w:t>Kính gửi: Bộ Tài chính</w:t>
      </w:r>
    </w:p>
    <w:p w:rsidR="007F4E4C" w:rsidRPr="007F4E4C" w:rsidRDefault="007F4E4C" w:rsidP="007F4E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E4C" w:rsidRPr="007F4E4C" w:rsidRDefault="007F4E4C" w:rsidP="007F4E4C">
      <w:pPr>
        <w:shd w:val="clear" w:color="auto" w:fill="FFFFFF"/>
        <w:spacing w:after="120" w:line="2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</w:rPr>
        <w:tab/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Thực hiện Nghị định số 163/2016/NĐ-CP ngày 21</w:t>
      </w:r>
      <w:r w:rsidRPr="007F4E4C">
        <w:rPr>
          <w:rFonts w:ascii="Times New Roman" w:hAnsi="Times New Roman" w:cs="Times New Roman"/>
          <w:sz w:val="28"/>
          <w:szCs w:val="28"/>
        </w:rPr>
        <w:t>/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12</w:t>
      </w:r>
      <w:r w:rsidRPr="007F4E4C">
        <w:rPr>
          <w:rFonts w:ascii="Times New Roman" w:hAnsi="Times New Roman" w:cs="Times New Roman"/>
          <w:sz w:val="28"/>
          <w:szCs w:val="28"/>
        </w:rPr>
        <w:t>/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2016 của Chính phủ Quy định chi tiết và hướng dẫn thi hành một số điều của Luật Ngân sách nhà nước, Thông tư số 343/2016/TT-BTC ngày 30</w:t>
      </w:r>
      <w:r w:rsidRPr="007F4E4C">
        <w:rPr>
          <w:rFonts w:ascii="Times New Roman" w:hAnsi="Times New Roman" w:cs="Times New Roman"/>
          <w:sz w:val="28"/>
          <w:szCs w:val="28"/>
        </w:rPr>
        <w:t>/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12</w:t>
      </w:r>
      <w:r w:rsidRPr="007F4E4C">
        <w:rPr>
          <w:rFonts w:ascii="Times New Roman" w:hAnsi="Times New Roman" w:cs="Times New Roman"/>
          <w:sz w:val="28"/>
          <w:szCs w:val="28"/>
        </w:rPr>
        <w:t>/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2016 của Bộ Tài chính hướng dẫn việc thực hiện công khai ngân sách nhà nước đối với các cấp ngân sách</w:t>
      </w:r>
      <w:r w:rsidRPr="007F4E4C">
        <w:rPr>
          <w:rFonts w:ascii="Times New Roman" w:hAnsi="Times New Roman" w:cs="Times New Roman"/>
          <w:sz w:val="28"/>
          <w:szCs w:val="28"/>
        </w:rPr>
        <w:t>; theo rà soát, đề xuất của Giám đốc Sở Tài chính tại các Công văn: Số 272/STC-NS ngày 19/3/2025 và số 388/STC-HCSN&amp;DN ngày 25/3/2025, UBND tỉnh Quảng Ngãi báo cáo tình hình thực hiện công khai quyết toán ngân sách nhà nước năm 2023 trên địa bàn tỉnh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 như sau:</w:t>
      </w:r>
    </w:p>
    <w:p w:rsidR="007F4E4C" w:rsidRPr="007F4E4C" w:rsidRDefault="007F4E4C" w:rsidP="007F4E4C">
      <w:pPr>
        <w:shd w:val="clear" w:color="auto" w:fill="FFFFFF"/>
        <w:spacing w:after="120" w:line="208" w:lineRule="atLeas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F4E4C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I. Tình hình công khai ngân sách tại các xã, phường, thị trấn trong tỉnh: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1. Số xã chưa công khai ngân sách: </w:t>
      </w: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hông có.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>2. Số xã đã thực hiện công khai ngân sách: 173 xã.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>Trong đó: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- Đúng nội dung quy định: 173 xã, chưa đúng nội dung quy định: </w:t>
      </w: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hông.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F4E4C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- Đúng hình thức quy định: 173 xã, chưa đúng hình thức quy định: </w:t>
      </w:r>
      <w:r w:rsidRPr="007F4E4C">
        <w:rPr>
          <w:rFonts w:ascii="Times New Roman" w:hAnsi="Times New Roman" w:cs="Times New Roman"/>
          <w:spacing w:val="-2"/>
          <w:sz w:val="28"/>
          <w:szCs w:val="28"/>
        </w:rPr>
        <w:t>K</w:t>
      </w:r>
      <w:r w:rsidRPr="007F4E4C">
        <w:rPr>
          <w:rFonts w:ascii="Times New Roman" w:hAnsi="Times New Roman" w:cs="Times New Roman"/>
          <w:spacing w:val="-2"/>
          <w:sz w:val="28"/>
          <w:szCs w:val="28"/>
          <w:lang w:val="nl-NL"/>
        </w:rPr>
        <w:t>hông.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- Đúng thời gian quy định: 173 xã, chưa đúng thời gian quy định: </w:t>
      </w: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hông.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b/>
          <w:sz w:val="28"/>
          <w:szCs w:val="28"/>
          <w:lang w:val="nl-NL"/>
        </w:rPr>
        <w:t>II. Tình hình công khai ngân sách của các huyện, thị xã, thành phố thuộc tỉnh: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1. Số huyện chưa thực hiện công khai ngân sách: </w:t>
      </w: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hông có.</w:t>
      </w:r>
    </w:p>
    <w:p w:rsidR="007F4E4C" w:rsidRPr="007F4E4C" w:rsidRDefault="007F4E4C" w:rsidP="007F4E4C">
      <w:pPr>
        <w:shd w:val="clear" w:color="auto" w:fill="FFFFFF"/>
        <w:spacing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lastRenderedPageBreak/>
        <w:t>2. Số huyện đã thực hiện công khai ngân sách: 13 huyện, thị xã, thành phố (chi tiết theo biểu sau)</w:t>
      </w:r>
    </w:p>
    <w:tbl>
      <w:tblPr>
        <w:tblW w:w="96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45"/>
        <w:gridCol w:w="862"/>
        <w:gridCol w:w="900"/>
        <w:gridCol w:w="900"/>
        <w:gridCol w:w="900"/>
        <w:gridCol w:w="900"/>
        <w:gridCol w:w="1421"/>
        <w:gridCol w:w="1134"/>
      </w:tblGrid>
      <w:tr w:rsidR="007F4E4C" w:rsidRPr="007F4E4C" w:rsidTr="007F4E4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TT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từng huyện</w:t>
            </w:r>
          </w:p>
        </w:tc>
        <w:tc>
          <w:tcPr>
            <w:tcW w:w="5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Huyện đã thực hiện công khai ngân sách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Ghi chú</w:t>
            </w:r>
          </w:p>
        </w:tc>
      </w:tr>
      <w:tr w:rsidR="007F4E4C" w:rsidRPr="007F4E4C" w:rsidTr="007F4E4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Hình thức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rPr>
          <w:trHeight w:val="14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Đúng 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Chưa đúng nội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Đúng hình thức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Chưa đúng hình thức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Đúng thời gian quy định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Chưa đúng thời gian quy định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Thị xã Đức Phổ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Sơn Tịnh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Bình Sơn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Nghĩa Hành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Ba Tơ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Minh Long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Sơn Hà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Sơn Tây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Trà Bồng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Lý Sơn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Mộ Đức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TP.Quảng Ngãi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F4E4C" w:rsidRPr="007F4E4C" w:rsidTr="007F4E4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sz w:val="28"/>
                <w:szCs w:val="28"/>
              </w:rPr>
              <w:t>Tư Nghĩa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E4C" w:rsidRPr="007F4E4C" w:rsidRDefault="007F4E4C">
            <w:pPr>
              <w:spacing w:before="60" w:after="60" w:line="2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7F4E4C" w:rsidRPr="007F4E4C" w:rsidRDefault="007F4E4C" w:rsidP="007F4E4C">
      <w:pPr>
        <w:shd w:val="clear" w:color="auto" w:fill="FFFFFF"/>
        <w:spacing w:before="240" w:after="120" w:line="208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E4C">
        <w:rPr>
          <w:rFonts w:ascii="Times New Roman" w:hAnsi="Times New Roman" w:cs="Times New Roman"/>
          <w:b/>
          <w:sz w:val="28"/>
          <w:szCs w:val="28"/>
          <w:lang w:val="nl-NL"/>
        </w:rPr>
        <w:t>III. Tình hình thực hiện công khai ngân sách của các đơn vị dự toán ngân sách thuộc UBND tỉnh: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>- Số đơn vị dự toán chưa thực hiện công khai: 0</w:t>
      </w:r>
      <w:r w:rsidRPr="007F4E4C">
        <w:rPr>
          <w:rFonts w:ascii="Times New Roman" w:hAnsi="Times New Roman" w:cs="Times New Roman"/>
          <w:sz w:val="28"/>
          <w:szCs w:val="28"/>
        </w:rPr>
        <w:t xml:space="preserve"> đơn vị.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nl-NL"/>
        </w:rPr>
      </w:pPr>
      <w:r w:rsidRPr="007F4E4C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- Số đơn vị dự toán đã thực hiện công khai ngân sách: 47 đơn vị thực hiện công khai, trong đó đảm bảo đúng nội dung, hình thức theo quy định là 47/47 đơn vị, đúng thời gian quy định 25/47 đơn vị, chậm thời gian quy định là 22/47 đơn vị </w:t>
      </w:r>
      <w:r w:rsidRPr="007F4E4C">
        <w:rPr>
          <w:rFonts w:ascii="Times New Roman" w:hAnsi="Times New Roman" w:cs="Times New Roman"/>
          <w:i/>
          <w:spacing w:val="-2"/>
          <w:sz w:val="28"/>
          <w:szCs w:val="28"/>
          <w:lang w:val="nl-NL"/>
        </w:rPr>
        <w:t>(Chi tiết như Phụ lục kèm theo)</w:t>
      </w:r>
      <w:r w:rsidRPr="007F4E4C">
        <w:rPr>
          <w:rFonts w:ascii="Times New Roman" w:hAnsi="Times New Roman" w:cs="Times New Roman"/>
          <w:spacing w:val="-2"/>
          <w:sz w:val="28"/>
          <w:szCs w:val="28"/>
          <w:lang w:val="nl-NL"/>
        </w:rPr>
        <w:t>.</w:t>
      </w:r>
    </w:p>
    <w:p w:rsidR="007F4E4C" w:rsidRPr="007F4E4C" w:rsidRDefault="007F4E4C" w:rsidP="007F4E4C">
      <w:pPr>
        <w:shd w:val="clear" w:color="auto" w:fill="FFFFFF"/>
        <w:spacing w:before="240" w:after="120" w:line="208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4C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Tình hình thực hiện công khai tài chính của các đơn vị được ngân sách nhà nước hỗ trợ: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4C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Số đơn vị được ngân sách nhà nước hỗ trợ chưa thực hiện công khai: </w:t>
      </w: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hông có.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4E4C">
        <w:rPr>
          <w:rFonts w:ascii="Times New Roman" w:hAnsi="Times New Roman" w:cs="Times New Roman"/>
          <w:color w:val="000000"/>
          <w:spacing w:val="-4"/>
          <w:sz w:val="28"/>
          <w:szCs w:val="28"/>
          <w:lang w:val="nl-NL"/>
        </w:rPr>
        <w:t xml:space="preserve">- Số đơn vị được ngân sách nhà nước hỗ trợ đã thực hiện công khai: 06 đơn vị </w:t>
      </w:r>
      <w:r w:rsidRPr="007F4E4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(Tòa án nhân dân tỉnh, Cục Thống kê tỉnh, Đài Khí tượng thủy văn tỉnh, </w:t>
      </w:r>
      <w:r w:rsidRPr="007F4E4C">
        <w:rPr>
          <w:rFonts w:ascii="Times New Roman" w:hAnsi="Times New Roman" w:cs="Times New Roman"/>
          <w:i/>
          <w:iCs/>
          <w:color w:val="000000"/>
          <w:sz w:val="28"/>
          <w:szCs w:val="28"/>
          <w:lang w:val="nl-NL"/>
        </w:rPr>
        <w:t>Liên đoàn Lao động tỉnh, Cục Thuế tỉnh, Viện kiểm sát nhân dân tỉnh</w:t>
      </w:r>
      <w:r w:rsidRPr="007F4E4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) </w:t>
      </w:r>
      <w:r w:rsidRPr="007F4E4C">
        <w:rPr>
          <w:rFonts w:ascii="Times New Roman" w:hAnsi="Times New Roman" w:cs="Times New Roman"/>
          <w:spacing w:val="-2"/>
          <w:sz w:val="28"/>
          <w:szCs w:val="28"/>
          <w:lang w:val="nl-NL"/>
        </w:rPr>
        <w:t>công khai đúng hình thức và nội dung</w:t>
      </w:r>
      <w:r w:rsidRPr="007F4E4C">
        <w:rPr>
          <w:rFonts w:ascii="Times New Roman" w:hAnsi="Times New Roman" w:cs="Times New Roman"/>
          <w:color w:val="000000"/>
          <w:spacing w:val="-4"/>
          <w:sz w:val="28"/>
          <w:szCs w:val="28"/>
          <w:lang w:val="nl-NL"/>
        </w:rPr>
        <w:t xml:space="preserve">, trong đó: 01 đơn vị chưa đảm bảo thời gian quy định </w:t>
      </w:r>
      <w:r w:rsidRPr="007F4E4C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nl-NL"/>
        </w:rPr>
        <w:t>(</w:t>
      </w:r>
      <w:r w:rsidRPr="007F4E4C">
        <w:rPr>
          <w:rFonts w:ascii="Times New Roman" w:hAnsi="Times New Roman" w:cs="Times New Roman"/>
          <w:i/>
          <w:iCs/>
          <w:color w:val="000000"/>
          <w:sz w:val="28"/>
          <w:szCs w:val="28"/>
          <w:lang w:val="nl-NL"/>
        </w:rPr>
        <w:t>Liên đoàn Lao động tỉnh).</w:t>
      </w:r>
    </w:p>
    <w:p w:rsidR="007F4E4C" w:rsidRPr="007F4E4C" w:rsidRDefault="007F4E4C" w:rsidP="007F4E4C">
      <w:pPr>
        <w:shd w:val="clear" w:color="auto" w:fill="FFFFFF"/>
        <w:spacing w:before="240" w:after="120" w:line="208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F4E4C">
        <w:rPr>
          <w:rFonts w:ascii="Times New Roman" w:hAnsi="Times New Roman" w:cs="Times New Roman"/>
          <w:b/>
          <w:sz w:val="28"/>
          <w:szCs w:val="28"/>
          <w:lang w:val="nl-NL"/>
        </w:rPr>
        <w:t xml:space="preserve">V. Tình hình thực hiện công khai tài chính của các dự án đầu tư xây dựng cơ bản có sử dụng vốn ngân sách nhà nước: 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>- Số dự án đầu tư xây dựng cơ bản có sử dụng vốn ngân sách nhà nước chưa thực hiện công khai: không có.</w:t>
      </w:r>
    </w:p>
    <w:p w:rsidR="007F4E4C" w:rsidRPr="007F4E4C" w:rsidRDefault="007F4E4C" w:rsidP="007F4E4C">
      <w:pPr>
        <w:shd w:val="clear" w:color="auto" w:fill="FFFFFF"/>
        <w:spacing w:before="120" w:after="120" w:line="208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F4E4C">
        <w:rPr>
          <w:rFonts w:ascii="Times New Roman" w:hAnsi="Times New Roman" w:cs="Times New Roman"/>
          <w:sz w:val="28"/>
          <w:szCs w:val="28"/>
          <w:lang w:val="nl-NL"/>
        </w:rPr>
        <w:t xml:space="preserve">- Số dự án đầu tư xây dựng cơ bản có sử dụng vốn ngân sách nhà nước đã thực hiện công khai là 5.140 dự án </w:t>
      </w:r>
      <w:r w:rsidRPr="007F4E4C">
        <w:rPr>
          <w:rFonts w:ascii="Times New Roman" w:hAnsi="Times New Roman" w:cs="Times New Roman"/>
          <w:i/>
          <w:sz w:val="28"/>
          <w:szCs w:val="28"/>
          <w:lang w:val="nl-NL"/>
        </w:rPr>
        <w:t>(các dự án đều được công khai đúng nội dung, hình thức và thời gian quy định)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7F4E4C" w:rsidRPr="007F4E4C" w:rsidRDefault="007F4E4C" w:rsidP="007F4E4C">
      <w:pPr>
        <w:shd w:val="clear" w:color="auto" w:fill="FFFFFF"/>
        <w:spacing w:before="120" w:after="240" w:line="208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E4C">
        <w:rPr>
          <w:rFonts w:ascii="Times New Roman" w:hAnsi="Times New Roman" w:cs="Times New Roman"/>
          <w:sz w:val="28"/>
          <w:szCs w:val="28"/>
        </w:rPr>
        <w:t>K</w:t>
      </w:r>
      <w:r w:rsidRPr="007F4E4C">
        <w:rPr>
          <w:rFonts w:ascii="Times New Roman" w:hAnsi="Times New Roman" w:cs="Times New Roman"/>
          <w:sz w:val="28"/>
          <w:szCs w:val="28"/>
          <w:lang w:val="nl-NL"/>
        </w:rPr>
        <w:t>ính báo cáo</w:t>
      </w:r>
      <w:r w:rsidRPr="007F4E4C">
        <w:rPr>
          <w:rFonts w:ascii="Times New Roman" w:hAnsi="Times New Roman" w:cs="Times New Roman"/>
          <w:sz w:val="28"/>
          <w:szCs w:val="28"/>
        </w:rPr>
        <w:t xml:space="preserve"> Bộ Tài chính theo dõi, chỉ đạo</w:t>
      </w:r>
      <w:proofErr w:type="gramStart"/>
      <w:r w:rsidRPr="007F4E4C">
        <w:rPr>
          <w:rFonts w:ascii="Times New Roman" w:hAnsi="Times New Roman" w:cs="Times New Roman"/>
          <w:sz w:val="28"/>
          <w:szCs w:val="28"/>
          <w:lang w:val="nl-NL"/>
        </w:rPr>
        <w:t>./</w:t>
      </w:r>
      <w:proofErr w:type="gramEnd"/>
      <w:r w:rsidRPr="007F4E4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4640"/>
        <w:gridCol w:w="4570"/>
      </w:tblGrid>
      <w:tr w:rsidR="007F4E4C" w:rsidRPr="007F4E4C" w:rsidTr="007F4E4C">
        <w:tc>
          <w:tcPr>
            <w:tcW w:w="4644" w:type="dxa"/>
            <w:hideMark/>
          </w:tcPr>
          <w:p w:rsidR="007F4E4C" w:rsidRPr="007F4E4C" w:rsidRDefault="007F4E4C">
            <w:pPr>
              <w:spacing w:before="6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</w:t>
            </w:r>
            <w:r w:rsidRPr="007F4E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</w:tc>
        <w:tc>
          <w:tcPr>
            <w:tcW w:w="4573" w:type="dxa"/>
            <w:hideMark/>
          </w:tcPr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</w:tc>
      </w:tr>
      <w:tr w:rsidR="007F4E4C" w:rsidRPr="007F4E4C" w:rsidTr="007F4E4C">
        <w:tc>
          <w:tcPr>
            <w:tcW w:w="4644" w:type="dxa"/>
            <w:hideMark/>
          </w:tcPr>
          <w:p w:rsidR="007F4E4C" w:rsidRPr="007F4E4C" w:rsidRDefault="007F4E4C">
            <w:pPr>
              <w:spacing w:line="20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Như trên;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Thường trực Tỉnh uỷ; 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Thường trực HĐND tỉnh;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CT, PCT UBND tỉnh;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Văn phòng: Tỉnh uỷ, 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Đoàn ĐBQH&amp;HĐND tỉnh;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Các Sở, ban, ngành, đơn vị trực thuộc 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 UBND tỉnh;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UBND các huyện, thị xã, thành phố;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Các hội, đoàn thể tỉnh;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VPUB: CVP, PCVP, HC-QT;</w:t>
            </w:r>
          </w:p>
          <w:p w:rsidR="007F4E4C" w:rsidRPr="007F4E4C" w:rsidRDefault="007F4E4C">
            <w:pPr>
              <w:spacing w:line="20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Cổng TT-ĐT tỉnh;</w:t>
            </w:r>
          </w:p>
          <w:p w:rsidR="007F4E4C" w:rsidRPr="007F4E4C" w:rsidRDefault="007F4E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Lưu: VT, P.KTTHTien108.</w:t>
            </w:r>
          </w:p>
        </w:tc>
        <w:tc>
          <w:tcPr>
            <w:tcW w:w="4573" w:type="dxa"/>
          </w:tcPr>
          <w:p w:rsidR="007F4E4C" w:rsidRPr="007F4E4C" w:rsidRDefault="007F4E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KT. CHỦ TỊCH</w:t>
            </w:r>
          </w:p>
          <w:p w:rsidR="007F4E4C" w:rsidRPr="007F4E4C" w:rsidRDefault="007F4E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PHÓ CHỦ TỊCH</w:t>
            </w: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F4E4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Võ Phiên</w:t>
            </w: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F4E4C" w:rsidRPr="007F4E4C" w:rsidRDefault="007F4E4C">
            <w:pPr>
              <w:spacing w:before="6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7F4E4C" w:rsidRPr="007F4E4C" w:rsidRDefault="007F4E4C" w:rsidP="007F4E4C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D25002" w:rsidRPr="007F4E4C" w:rsidRDefault="007F4E4C" w:rsidP="007F4E4C">
      <w:pPr>
        <w:rPr>
          <w:rFonts w:ascii="Times New Roman" w:hAnsi="Times New Roman" w:cs="Times New Roman"/>
          <w:sz w:val="28"/>
          <w:szCs w:val="28"/>
        </w:rPr>
      </w:pPr>
    </w:p>
    <w:sectPr w:rsidR="00D25002" w:rsidRPr="007F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C1"/>
    <w:rsid w:val="000276B6"/>
    <w:rsid w:val="007F4E4C"/>
    <w:rsid w:val="008162C1"/>
    <w:rsid w:val="00A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60551-0D10-4610-87C1-9564B82C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05289-1FE7-4F58-91B1-175AD9445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AFE9-9905-4D31-8653-45C903DDD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Duy, Phan Nguyen Anh</dc:creator>
  <cp:lastModifiedBy>ITC</cp:lastModifiedBy>
  <cp:revision>2</cp:revision>
  <dcterms:created xsi:type="dcterms:W3CDTF">2025-03-28T04:25:00Z</dcterms:created>
  <dcterms:modified xsi:type="dcterms:W3CDTF">2025-03-28T04:25:00Z</dcterms:modified>
</cp:coreProperties>
</file>